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Роспотребнадзор разъясняет правовые аспекты отказа потребителям в </w:t>
      </w:r>
      <w:proofErr w:type="gramStart"/>
      <w:r>
        <w:rPr>
          <w:rFonts w:ascii="Verdana" w:hAnsi="Verdana"/>
          <w:color w:val="4F4F4F"/>
          <w:sz w:val="21"/>
          <w:szCs w:val="21"/>
        </w:rPr>
        <w:t>допуске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на торговые объекты без средств индивидуальной защиты (масок) в случае введения режима их обязательного использования.</w:t>
      </w:r>
    </w:p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связи с поступающими в Роспотребнадзор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</w:p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настоящее время в ситуации, обусловленной необходимостью всемерного снижения рисков распространения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 </w:t>
      </w:r>
      <w:hyperlink r:id="rId4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>
        <w:rPr>
          <w:rFonts w:ascii="Verdana" w:hAnsi="Verdana"/>
          <w:color w:val="4F4F4F"/>
          <w:sz w:val="21"/>
          <w:szCs w:val="21"/>
        </w:rPr>
        <w:t>.</w:t>
      </w:r>
    </w:p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  <w:proofErr w:type="gramEnd"/>
    </w:p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 xml:space="preserve"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</w:t>
      </w:r>
      <w:r>
        <w:rPr>
          <w:rFonts w:ascii="Verdana" w:hAnsi="Verdana"/>
          <w:color w:val="4F4F4F"/>
          <w:sz w:val="21"/>
          <w:szCs w:val="21"/>
        </w:rPr>
        <w:lastRenderedPageBreak/>
        <w:t>гражданских правоотношений 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F476D9" w:rsidRDefault="00F476D9" w:rsidP="00F476D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 </w:t>
      </w:r>
      <w:hyperlink r:id="rId5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правил</w:t>
        </w:r>
      </w:hyperlink>
      <w:r>
        <w:rPr>
          <w:rFonts w:ascii="Verdana" w:hAnsi="Verdana"/>
          <w:color w:val="4F4F4F"/>
          <w:sz w:val="21"/>
          <w:szCs w:val="21"/>
        </w:rPr>
        <w:t> поведения при введении режима повышенной готовности на </w:t>
      </w:r>
      <w:hyperlink r:id="rId6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территории</w:t>
        </w:r>
      </w:hyperlink>
      <w:r>
        <w:rPr>
          <w:rFonts w:ascii="Verdana" w:hAnsi="Verdana"/>
          <w:color w:val="4F4F4F"/>
          <w:sz w:val="21"/>
          <w:szCs w:val="21"/>
        </w:rPr>
        <w:t>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по </w:t>
      </w:r>
      <w:hyperlink r:id="rId7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части 1 статьи 20.6.1</w:t>
        </w:r>
      </w:hyperlink>
      <w:r>
        <w:rPr>
          <w:rFonts w:ascii="Verdana" w:hAnsi="Verdana"/>
          <w:color w:val="4F4F4F"/>
          <w:sz w:val="21"/>
          <w:szCs w:val="21"/>
        </w:rPr>
        <w:t> Кодекса Российской Федерации об административных правонарушениях.</w:t>
      </w:r>
    </w:p>
    <w:p w:rsidR="00906FE2" w:rsidRDefault="00906FE2"/>
    <w:sectPr w:rsidR="0090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6D9"/>
    <w:rsid w:val="00906FE2"/>
    <w:rsid w:val="00F4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6D9"/>
    <w:rPr>
      <w:b/>
      <w:bCs/>
    </w:rPr>
  </w:style>
  <w:style w:type="character" w:styleId="a5">
    <w:name w:val="Hyperlink"/>
    <w:basedOn w:val="a0"/>
    <w:uiPriority w:val="99"/>
    <w:semiHidden/>
    <w:unhideWhenUsed/>
    <w:rsid w:val="00F476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709A7C1F7712F44DCA086B51865D334561F8766A1126071E2AB86CA1E1841D49717507q8qFM" TargetMode="External"/><Relationship Id="rId5" Type="http://schemas.openxmlformats.org/officeDocument/2006/relationships/hyperlink" Target="consultantplus://offline/ref=35C838FB66A06E69A69F709A7C1F7712F44DCA026957865D334561F8766A1126151E72B46CA9FF84115C272441DA6DC35E6E8EB855E4AE5Bq4q4M" TargetMode="External"/><Relationship Id="rId4" Type="http://schemas.openxmlformats.org/officeDocument/2006/relationships/hyperlink" Target="https://www.rospotrebnadzor.ru/about/info/news/news_details.php?ELEMENT_ID=141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>Grizli777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Лакеева</dc:creator>
  <cp:keywords/>
  <dc:description/>
  <cp:lastModifiedBy>Лакеева</cp:lastModifiedBy>
  <cp:revision>2</cp:revision>
  <cp:lastPrinted>2020-05-22T11:57:00Z</cp:lastPrinted>
  <dcterms:created xsi:type="dcterms:W3CDTF">2020-05-22T11:56:00Z</dcterms:created>
  <dcterms:modified xsi:type="dcterms:W3CDTF">2020-05-22T11:57:00Z</dcterms:modified>
</cp:coreProperties>
</file>